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E23BC" w:rsidRPr="00B62A2A" w:rsidRDefault="005B08BF" w:rsidP="005E23BC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7C3C89">
        <w:rPr>
          <w:b/>
          <w:lang w:val="ro-RO"/>
        </w:rPr>
        <w:t>Reprezentan</w:t>
      </w:r>
      <w:r w:rsidR="007C4BBD">
        <w:rPr>
          <w:b/>
          <w:lang w:val="ro-RO"/>
        </w:rPr>
        <w:t>ți</w:t>
      </w:r>
      <w:r w:rsidR="007C3C89">
        <w:rPr>
          <w:b/>
          <w:lang w:val="ro-RO"/>
        </w:rPr>
        <w:t xml:space="preserve"> studenți pentru </w:t>
      </w:r>
      <w:r w:rsidR="007C4BBD">
        <w:rPr>
          <w:b/>
          <w:lang w:val="ro-RO"/>
        </w:rPr>
        <w:t>digitalizare</w:t>
      </w:r>
      <w:bookmarkStart w:id="0" w:name="_GoBack"/>
      <w:bookmarkEnd w:id="0"/>
      <w:r w:rsidR="00D94F2E" w:rsidRPr="00D94F2E">
        <w:rPr>
          <w:rFonts w:eastAsia="Calibri"/>
          <w:b/>
        </w:rPr>
        <w:t xml:space="preserve"> </w:t>
      </w:r>
      <w:r w:rsidR="009A60E9">
        <w:rPr>
          <w:b/>
          <w:lang w:val="ro-RO"/>
        </w:rPr>
        <w:t xml:space="preserve">– </w:t>
      </w:r>
      <w:r w:rsidR="005E23BC">
        <w:rPr>
          <w:b/>
          <w:lang w:val="ro-RO"/>
        </w:rPr>
        <w:t>2</w:t>
      </w:r>
      <w:r w:rsidR="00E2766B" w:rsidRPr="007432DE">
        <w:rPr>
          <w:b/>
          <w:lang w:val="ro-RO"/>
        </w:rPr>
        <w:t xml:space="preserve"> post</w:t>
      </w:r>
      <w:r w:rsidR="00870971">
        <w:rPr>
          <w:b/>
          <w:lang w:val="ro-RO"/>
        </w:rPr>
        <w:t>uri</w:t>
      </w:r>
      <w:r w:rsidR="00E2766B" w:rsidRPr="007432DE">
        <w:rPr>
          <w:b/>
          <w:lang w:val="ro-RO"/>
        </w:rPr>
        <w:t xml:space="preserve">  </w:t>
      </w:r>
      <w:r w:rsidRPr="007432DE">
        <w:rPr>
          <w:lang w:val="ro-RO"/>
        </w:rPr>
        <w:t xml:space="preserve">în cadrul proiectului </w:t>
      </w:r>
      <w:r w:rsidR="007C3C89" w:rsidRPr="00B62A2A">
        <w:rPr>
          <w:lang w:val="ro-RO"/>
        </w:rPr>
        <w:t>„</w:t>
      </w:r>
      <w:bookmarkStart w:id="1" w:name="_Hlk131513069"/>
      <w:proofErr w:type="spellStart"/>
      <w:r w:rsidR="005E23BC">
        <w:rPr>
          <w:b/>
          <w:bCs/>
        </w:rPr>
        <w:t>Excelență</w:t>
      </w:r>
      <w:proofErr w:type="spellEnd"/>
      <w:r w:rsidR="005E23BC">
        <w:rPr>
          <w:b/>
          <w:bCs/>
        </w:rPr>
        <w:t xml:space="preserve"> </w:t>
      </w:r>
      <w:proofErr w:type="spellStart"/>
      <w:r w:rsidR="005E23BC">
        <w:rPr>
          <w:b/>
          <w:bCs/>
        </w:rPr>
        <w:t>și</w:t>
      </w:r>
      <w:proofErr w:type="spellEnd"/>
      <w:r w:rsidR="005E23BC">
        <w:rPr>
          <w:b/>
          <w:bCs/>
        </w:rPr>
        <w:t xml:space="preserve"> </w:t>
      </w:r>
      <w:proofErr w:type="spellStart"/>
      <w:r w:rsidR="005E23BC">
        <w:rPr>
          <w:b/>
          <w:bCs/>
        </w:rPr>
        <w:t>inovare</w:t>
      </w:r>
      <w:proofErr w:type="spellEnd"/>
      <w:r w:rsidR="005E23BC">
        <w:rPr>
          <w:b/>
          <w:bCs/>
        </w:rPr>
        <w:t xml:space="preserve"> </w:t>
      </w:r>
      <w:proofErr w:type="spellStart"/>
      <w:r w:rsidR="005E23BC">
        <w:rPr>
          <w:b/>
          <w:bCs/>
        </w:rPr>
        <w:t>în</w:t>
      </w:r>
      <w:proofErr w:type="spellEnd"/>
      <w:r w:rsidR="005E23BC">
        <w:rPr>
          <w:b/>
          <w:bCs/>
        </w:rPr>
        <w:t xml:space="preserve"> </w:t>
      </w:r>
      <w:proofErr w:type="spellStart"/>
      <w:r w:rsidR="005E23BC">
        <w:rPr>
          <w:b/>
          <w:bCs/>
        </w:rPr>
        <w:t>epoca</w:t>
      </w:r>
      <w:proofErr w:type="spellEnd"/>
      <w:r w:rsidR="005E23BC">
        <w:rPr>
          <w:b/>
          <w:bCs/>
        </w:rPr>
        <w:t xml:space="preserve"> </w:t>
      </w:r>
      <w:proofErr w:type="spellStart"/>
      <w:r w:rsidR="005E23BC">
        <w:rPr>
          <w:b/>
          <w:bCs/>
        </w:rPr>
        <w:t>inteligenței</w:t>
      </w:r>
      <w:proofErr w:type="spellEnd"/>
      <w:r w:rsidR="005E23BC">
        <w:rPr>
          <w:b/>
          <w:bCs/>
        </w:rPr>
        <w:t xml:space="preserve"> </w:t>
      </w:r>
      <w:proofErr w:type="spellStart"/>
      <w:r w:rsidR="005E23BC">
        <w:rPr>
          <w:b/>
          <w:bCs/>
        </w:rPr>
        <w:t>artificiale</w:t>
      </w:r>
      <w:proofErr w:type="spellEnd"/>
      <w:r w:rsidR="005E23BC">
        <w:rPr>
          <w:b/>
          <w:bCs/>
        </w:rPr>
        <w:t xml:space="preserve">, </w:t>
      </w:r>
      <w:proofErr w:type="spellStart"/>
      <w:r w:rsidR="005E23BC">
        <w:rPr>
          <w:b/>
          <w:bCs/>
        </w:rPr>
        <w:t>în</w:t>
      </w:r>
      <w:proofErr w:type="spellEnd"/>
      <w:r w:rsidR="005E23BC">
        <w:rPr>
          <w:b/>
          <w:bCs/>
        </w:rPr>
        <w:t xml:space="preserve"> </w:t>
      </w:r>
      <w:proofErr w:type="spellStart"/>
      <w:r w:rsidR="005E23BC">
        <w:rPr>
          <w:b/>
          <w:bCs/>
        </w:rPr>
        <w:t>contextul</w:t>
      </w:r>
      <w:proofErr w:type="spellEnd"/>
      <w:r w:rsidR="005E23BC">
        <w:rPr>
          <w:b/>
          <w:bCs/>
        </w:rPr>
        <w:t xml:space="preserve"> </w:t>
      </w:r>
      <w:proofErr w:type="spellStart"/>
      <w:r w:rsidR="005E23BC">
        <w:rPr>
          <w:b/>
          <w:bCs/>
        </w:rPr>
        <w:t>securității</w:t>
      </w:r>
      <w:proofErr w:type="spellEnd"/>
      <w:r w:rsidR="005E23BC">
        <w:rPr>
          <w:b/>
          <w:bCs/>
        </w:rPr>
        <w:t xml:space="preserve"> </w:t>
      </w:r>
      <w:proofErr w:type="spellStart"/>
      <w:r w:rsidR="005E23BC">
        <w:rPr>
          <w:b/>
          <w:bCs/>
        </w:rPr>
        <w:t>cibernetice</w:t>
      </w:r>
      <w:proofErr w:type="spellEnd"/>
      <w:r w:rsidR="005E23BC">
        <w:rPr>
          <w:b/>
          <w:bCs/>
        </w:rPr>
        <w:t xml:space="preserve">, al </w:t>
      </w:r>
      <w:proofErr w:type="spellStart"/>
      <w:r w:rsidR="005E23BC">
        <w:rPr>
          <w:b/>
          <w:bCs/>
        </w:rPr>
        <w:t>eticii</w:t>
      </w:r>
      <w:proofErr w:type="spellEnd"/>
      <w:r w:rsidR="005E23BC">
        <w:rPr>
          <w:b/>
          <w:bCs/>
        </w:rPr>
        <w:t xml:space="preserve"> </w:t>
      </w:r>
      <w:proofErr w:type="spellStart"/>
      <w:r w:rsidR="005E23BC">
        <w:rPr>
          <w:b/>
          <w:bCs/>
        </w:rPr>
        <w:t>și</w:t>
      </w:r>
      <w:proofErr w:type="spellEnd"/>
      <w:r w:rsidR="005E23BC">
        <w:rPr>
          <w:b/>
          <w:bCs/>
        </w:rPr>
        <w:t xml:space="preserve"> </w:t>
      </w:r>
      <w:proofErr w:type="spellStart"/>
      <w:r w:rsidR="005E23BC">
        <w:rPr>
          <w:b/>
          <w:bCs/>
        </w:rPr>
        <w:t>deontologiei</w:t>
      </w:r>
      <w:proofErr w:type="spellEnd"/>
      <w:r w:rsidR="005E23BC">
        <w:rPr>
          <w:b/>
          <w:bCs/>
        </w:rPr>
        <w:t xml:space="preserve"> </w:t>
      </w:r>
      <w:proofErr w:type="spellStart"/>
      <w:r w:rsidR="005E23BC">
        <w:rPr>
          <w:b/>
          <w:bCs/>
        </w:rPr>
        <w:t>academice</w:t>
      </w:r>
      <w:proofErr w:type="spellEnd"/>
      <w:r w:rsidR="005E23BC">
        <w:rPr>
          <w:b/>
          <w:bCs/>
        </w:rPr>
        <w:t xml:space="preserve">, </w:t>
      </w:r>
      <w:proofErr w:type="spellStart"/>
      <w:r w:rsidR="005E23BC">
        <w:rPr>
          <w:b/>
          <w:bCs/>
        </w:rPr>
        <w:t>în</w:t>
      </w:r>
      <w:proofErr w:type="spellEnd"/>
      <w:r w:rsidR="005E23BC">
        <w:rPr>
          <w:b/>
          <w:bCs/>
        </w:rPr>
        <w:t xml:space="preserve"> ASE</w:t>
      </w:r>
      <w:bookmarkEnd w:id="1"/>
      <w:r w:rsidR="005E23BC" w:rsidRPr="00B62A2A">
        <w:rPr>
          <w:bCs/>
          <w:lang w:val="ro-RO" w:eastAsia="ro-RO"/>
        </w:rPr>
        <w:t>”, CNFIS-FDI-202</w:t>
      </w:r>
      <w:r w:rsidR="005E23BC">
        <w:rPr>
          <w:bCs/>
          <w:lang w:val="ro-RO" w:eastAsia="ro-RO"/>
        </w:rPr>
        <w:t>3</w:t>
      </w:r>
      <w:r w:rsidR="005E23BC" w:rsidRPr="00B62A2A">
        <w:rPr>
          <w:bCs/>
          <w:lang w:val="ro-RO" w:eastAsia="ro-RO"/>
        </w:rPr>
        <w:t>-</w:t>
      </w:r>
      <w:r w:rsidR="005E23BC" w:rsidRPr="008D1ABC">
        <w:rPr>
          <w:bCs/>
          <w:lang w:val="ro-RO" w:eastAsia="ro-RO"/>
        </w:rPr>
        <w:t>00</w:t>
      </w:r>
      <w:r w:rsidR="005E23BC">
        <w:rPr>
          <w:bCs/>
          <w:lang w:val="ro-RO" w:eastAsia="ro-RO"/>
        </w:rPr>
        <w:t>28</w:t>
      </w:r>
      <w:r w:rsidR="005E23BC" w:rsidRPr="00B62A2A">
        <w:rPr>
          <w:bCs/>
          <w:lang w:val="ro-RO" w:eastAsia="ro-RO"/>
        </w:rPr>
        <w:t>.</w:t>
      </w:r>
    </w:p>
    <w:p w:rsidR="005B08BF" w:rsidRPr="007432DE" w:rsidRDefault="005B08BF" w:rsidP="005E23BC">
      <w:pPr>
        <w:spacing w:line="276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9A60E9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9A60E9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7C3C89" w:rsidP="009A60E9">
            <w:pPr>
              <w:jc w:val="center"/>
              <w:rPr>
                <w:rFonts w:eastAsia="Calibri"/>
                <w:lang w:val="ro-RO"/>
              </w:rPr>
            </w:pPr>
            <w:proofErr w:type="spellStart"/>
            <w:r w:rsidRPr="007C3C89">
              <w:rPr>
                <w:rFonts w:eastAsia="Calibri"/>
              </w:rPr>
              <w:t>Reprezentant</w:t>
            </w:r>
            <w:proofErr w:type="spellEnd"/>
            <w:r w:rsidRPr="007C3C89">
              <w:rPr>
                <w:rFonts w:eastAsia="Calibri"/>
              </w:rPr>
              <w:t xml:space="preserve"> </w:t>
            </w:r>
            <w:proofErr w:type="spellStart"/>
            <w:r w:rsidRPr="007C3C89">
              <w:rPr>
                <w:rFonts w:eastAsia="Calibri"/>
              </w:rPr>
              <w:t>studenți</w:t>
            </w:r>
            <w:proofErr w:type="spellEnd"/>
            <w:r w:rsidRPr="007C3C89">
              <w:rPr>
                <w:rFonts w:eastAsia="Calibri"/>
              </w:rPr>
              <w:t xml:space="preserve"> </w:t>
            </w:r>
            <w:proofErr w:type="spellStart"/>
            <w:r w:rsidRPr="007C3C89">
              <w:rPr>
                <w:rFonts w:eastAsia="Calibri"/>
              </w:rPr>
              <w:t>pentru</w:t>
            </w:r>
            <w:proofErr w:type="spellEnd"/>
            <w:r w:rsidRPr="007C3C89">
              <w:rPr>
                <w:rFonts w:eastAsia="Calibri"/>
              </w:rPr>
              <w:t xml:space="preserve"> </w:t>
            </w:r>
            <w:proofErr w:type="spellStart"/>
            <w:r w:rsidR="006B193F">
              <w:rPr>
                <w:rFonts w:eastAsia="Calibri"/>
              </w:rPr>
              <w:t>digitalizare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E23BC" w:rsidP="009A60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C520C6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6B4A41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AA2B01">
        <w:rPr>
          <w:lang w:eastAsia="ro-RO"/>
        </w:rPr>
        <w:t>Economie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6B4A41">
        <w:rPr>
          <w:lang w:eastAsia="ro-RO"/>
        </w:rPr>
        <w:t>-</w:t>
      </w:r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5E23BC" w:rsidRPr="004A7F06" w:rsidRDefault="005E23BC" w:rsidP="005E23BC">
      <w:pPr>
        <w:pStyle w:val="ListParagraph"/>
        <w:numPr>
          <w:ilvl w:val="0"/>
          <w:numId w:val="22"/>
        </w:numPr>
        <w:spacing w:after="200" w:line="276" w:lineRule="auto"/>
        <w:ind w:left="851"/>
        <w:contextualSpacing/>
        <w:jc w:val="both"/>
      </w:pPr>
      <w:r w:rsidRPr="0088703A">
        <w:t>Particip</w:t>
      </w:r>
      <w:r>
        <w:t>ă</w:t>
      </w:r>
      <w:r w:rsidRPr="0088703A">
        <w:t xml:space="preserve"> la </w:t>
      </w:r>
      <w:r>
        <w:t>dezvoltarea unei aplicații software pentru realizarea electronică și managementul planurilor individuale de dezvoltare (PID) și a rapoartelor anuale de progres de către studenții doctoranzi</w:t>
      </w:r>
    </w:p>
    <w:p w:rsidR="005E23BC" w:rsidRDefault="005E23BC" w:rsidP="005E23BC">
      <w:pPr>
        <w:pStyle w:val="ListParagraph"/>
        <w:numPr>
          <w:ilvl w:val="0"/>
          <w:numId w:val="22"/>
        </w:numPr>
        <w:spacing w:after="200" w:line="276" w:lineRule="auto"/>
        <w:ind w:left="851"/>
        <w:contextualSpacing/>
        <w:jc w:val="both"/>
      </w:pPr>
      <w:r>
        <w:t>Participă la actualizarea ghidului de elaborare a tezelor de doctorat în condițiile economiei cunoașterii, cu accent pe respectarea eticii și integrității academice</w:t>
      </w:r>
      <w:r w:rsidRPr="004A7F06">
        <w:t>;</w:t>
      </w:r>
    </w:p>
    <w:p w:rsidR="005E23BC" w:rsidRPr="004A7F06" w:rsidRDefault="005E23BC" w:rsidP="005E23BC">
      <w:pPr>
        <w:pStyle w:val="ListParagraph"/>
        <w:numPr>
          <w:ilvl w:val="0"/>
          <w:numId w:val="22"/>
        </w:numPr>
        <w:spacing w:after="200" w:line="276" w:lineRule="auto"/>
        <w:ind w:left="851"/>
        <w:contextualSpacing/>
        <w:jc w:val="both"/>
      </w:pPr>
      <w:r>
        <w:t>Participă la sesiunea de pregătire a coordonatorilor de doctorat și a doctoranzilor privind utilizarea software pentru realizarea electronică și managementul documentelor.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F01E97" w:rsidRPr="007432DE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Rezultate ale învățării și competențele absolvenților studiilor universitare de licență și masterat</w:t>
      </w:r>
      <w:r w:rsidR="00690C2F" w:rsidRPr="007432DE">
        <w:rPr>
          <w:lang w:eastAsia="ro-RO"/>
        </w:rPr>
        <w:t>;</w:t>
      </w:r>
    </w:p>
    <w:p w:rsidR="00690C2F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Relația curricula universitară – discipline – rezultate ale învățării – competențe de specialitate și transversale</w:t>
      </w:r>
      <w:r w:rsidR="00926C27">
        <w:rPr>
          <w:lang w:eastAsia="ro-RO"/>
        </w:rPr>
        <w:t>;</w:t>
      </w:r>
    </w:p>
    <w:p w:rsidR="00926C27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Guvernanță academică;</w:t>
      </w:r>
    </w:p>
    <w:p w:rsidR="00926C27" w:rsidRPr="00FF6188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Rolul stakeholderilor în guvernanța academică.</w:t>
      </w:r>
    </w:p>
    <w:p w:rsidR="00926C27" w:rsidRPr="00082F74" w:rsidRDefault="00926C27" w:rsidP="00926C27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rPr>
          <w:b/>
        </w:rPr>
        <w:t>Bibliografie</w:t>
      </w:r>
      <w:proofErr w:type="spellEnd"/>
      <w:r w:rsidRPr="00C638B3">
        <w:rPr>
          <w:b/>
        </w:rPr>
        <w:t>:</w:t>
      </w:r>
    </w:p>
    <w:p w:rsidR="00926C27" w:rsidRPr="007C78E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:rsidR="00926C27" w:rsidRPr="00C37F6D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 xml:space="preserve">Estermann, T. Kupriyanova, V., 2018. </w:t>
      </w:r>
      <w:r w:rsidRPr="007C78EA">
        <w:rPr>
          <w:i/>
          <w:lang w:eastAsia="ro-RO"/>
        </w:rPr>
        <w:t xml:space="preserve">Efficiency, Leadership </w:t>
      </w:r>
      <w:r>
        <w:rPr>
          <w:i/>
          <w:lang w:eastAsia="ro-RO"/>
        </w:rPr>
        <w:t>and Go</w:t>
      </w:r>
      <w:r w:rsidRPr="007C78EA">
        <w:rPr>
          <w:i/>
          <w:lang w:eastAsia="ro-RO"/>
        </w:rPr>
        <w:t>vernance</w:t>
      </w:r>
      <w:r>
        <w:rPr>
          <w:i/>
          <w:lang w:eastAsia="ro-RO"/>
        </w:rPr>
        <w:t xml:space="preserve">: closing the gap between strategy and execution.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7" w:history="1">
        <w:r>
          <w:rPr>
            <w:rStyle w:val="Hyperlink"/>
          </w:rPr>
          <w:t>https://eua.eu/downloads/publications/final%20ustream%20report%202018.pdf</w:t>
        </w:r>
      </w:hyperlink>
      <w:r>
        <w:t>;</w:t>
      </w:r>
    </w:p>
    <w:p w:rsidR="005B08BF" w:rsidRPr="00926C27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lang w:eastAsia="ro-RO"/>
        </w:rPr>
        <w:lastRenderedPageBreak/>
        <w:t>Saenen, B.</w:t>
      </w:r>
      <w:r>
        <w:rPr>
          <w:color w:val="000000"/>
        </w:rPr>
        <w:t xml:space="preserve"> Borrell-Damian, L., 2019. </w:t>
      </w:r>
      <w:r w:rsidRPr="00C37F6D">
        <w:rPr>
          <w:i/>
          <w:color w:val="000000"/>
        </w:rPr>
        <w:t>Reflections on University Research Assessment. Key concepts, Issues and Actors.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EUA.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8" w:history="1">
        <w:r>
          <w:rPr>
            <w:rStyle w:val="Hyperlink"/>
          </w:rPr>
          <w:t>https://eua.eu/downloads/publications/reflections%20on%20university%20research%20assessment.pdf</w:t>
        </w:r>
      </w:hyperlink>
      <w:r>
        <w:t>;</w:t>
      </w:r>
    </w:p>
    <w:p w:rsidR="00926C27" w:rsidRPr="00926C27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7432DE">
        <w:t>Bergan, S. and Danian, R. Higher education for modern societies: competences and values, 2010. Council of Europe Publishing</w:t>
      </w:r>
      <w:r w:rsidR="00926C27" w:rsidRPr="00926C27">
        <w:rPr>
          <w:i/>
          <w:color w:val="000000"/>
        </w:rPr>
        <w:t>;</w:t>
      </w:r>
    </w:p>
    <w:p w:rsidR="007432DE" w:rsidRPr="00926C27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26C27">
        <w:rPr>
          <w:lang w:val="en-US"/>
        </w:rPr>
        <w:t>European Commission.</w:t>
      </w:r>
      <w:r w:rsidRPr="007432DE">
        <w:rPr>
          <w:lang w:eastAsia="ro-RO"/>
        </w:rPr>
        <w:t xml:space="preserve"> </w:t>
      </w:r>
      <w:r w:rsidRPr="00926C27">
        <w:rPr>
          <w:i/>
          <w:lang w:eastAsia="ro-RO"/>
        </w:rPr>
        <w:t>Education and training 2020</w:t>
      </w:r>
      <w:r w:rsidRPr="007432DE">
        <w:rPr>
          <w:lang w:eastAsia="ro-RO"/>
        </w:rPr>
        <w:t>.</w:t>
      </w:r>
      <w:r w:rsidRPr="00926C27">
        <w:rPr>
          <w:lang w:val="en-US"/>
        </w:rPr>
        <w:t xml:space="preserve"> </w:t>
      </w:r>
      <w:proofErr w:type="spellStart"/>
      <w:r w:rsidRPr="00926C27">
        <w:rPr>
          <w:lang w:val="en-US"/>
        </w:rPr>
        <w:t>Disponibil</w:t>
      </w:r>
      <w:proofErr w:type="spellEnd"/>
      <w:r w:rsidRPr="00926C27">
        <w:rPr>
          <w:lang w:val="en-US"/>
        </w:rPr>
        <w:t xml:space="preserve"> la: </w:t>
      </w:r>
      <w:hyperlink r:id="rId9" w:history="1">
        <w:r w:rsidRPr="007432DE">
          <w:rPr>
            <w:rStyle w:val="Hyperlink"/>
          </w:rPr>
          <w:t>https://ec.europa.eu/education/sites/education/files/document-library-docs/et2020_mandates_2018-2020_final.pdf</w:t>
        </w:r>
      </w:hyperlink>
      <w:r w:rsidR="00926C27">
        <w:t>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092BCD">
        <w:rPr>
          <w:lang w:eastAsia="ro-RO"/>
        </w:rPr>
        <w:t xml:space="preserve"> sau declarația pe propria răspundere că este apt clinic pentru participarea în echipa de proiect CNFIS-FDI-202</w:t>
      </w:r>
      <w:r w:rsidR="005E23BC">
        <w:rPr>
          <w:lang w:eastAsia="ro-RO"/>
        </w:rPr>
        <w:t>3</w:t>
      </w:r>
      <w:r w:rsidR="00092BCD">
        <w:rPr>
          <w:lang w:eastAsia="ro-RO"/>
        </w:rPr>
        <w:t>-</w:t>
      </w:r>
      <w:r w:rsidR="007C3C89" w:rsidRPr="00352F05">
        <w:rPr>
          <w:lang w:eastAsia="ro-RO"/>
        </w:rPr>
        <w:t>00</w:t>
      </w:r>
      <w:r w:rsidR="005E23BC">
        <w:rPr>
          <w:lang w:eastAsia="ro-RO"/>
        </w:rPr>
        <w:t>28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lastRenderedPageBreak/>
        <w:t xml:space="preserve">E. </w:t>
      </w:r>
      <w:r w:rsidRPr="007432DE">
        <w:rPr>
          <w:u w:val="single"/>
          <w:lang w:val="ro-RO"/>
        </w:rPr>
        <w:t>Date de contact:</w:t>
      </w:r>
    </w:p>
    <w:p w:rsidR="005E23BC" w:rsidRPr="00B62A2A" w:rsidRDefault="005E23BC" w:rsidP="005E23BC">
      <w:pPr>
        <w:spacing w:after="120" w:line="276" w:lineRule="auto"/>
        <w:jc w:val="both"/>
        <w:rPr>
          <w:lang w:val="ro-RO"/>
        </w:rPr>
      </w:pPr>
      <w:bookmarkStart w:id="2" w:name="_Hlk72406807"/>
      <w:r w:rsidRPr="00B62A2A">
        <w:rPr>
          <w:lang w:val="ro-RO"/>
        </w:rPr>
        <w:t xml:space="preserve">Dosarele de concurs se vor depune până la data de </w:t>
      </w:r>
      <w:r w:rsidRPr="006A6234">
        <w:rPr>
          <w:lang w:val="ro-RO"/>
        </w:rPr>
        <w:t>2</w:t>
      </w:r>
      <w:r>
        <w:rPr>
          <w:lang w:val="ro-RO"/>
        </w:rPr>
        <w:t>4</w:t>
      </w:r>
      <w:r w:rsidRPr="006A6234">
        <w:rPr>
          <w:lang w:val="ro-RO"/>
        </w:rPr>
        <w:t>.04.202</w:t>
      </w:r>
      <w:r>
        <w:rPr>
          <w:lang w:val="ro-RO"/>
        </w:rPr>
        <w:t>3</w:t>
      </w:r>
      <w:r w:rsidRPr="006A6234">
        <w:rPr>
          <w:lang w:val="ro-RO"/>
        </w:rPr>
        <w:t xml:space="preserve">, ora 14.00, la Registratura ASE. </w:t>
      </w:r>
    </w:p>
    <w:p w:rsidR="005E23BC" w:rsidRPr="00B62A2A" w:rsidRDefault="005E23BC" w:rsidP="005E23BC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5E23BC" w:rsidRPr="00B62A2A" w:rsidRDefault="005E23BC" w:rsidP="005E23BC">
      <w:pPr>
        <w:spacing w:after="120"/>
        <w:jc w:val="both"/>
        <w:rPr>
          <w:lang w:val="ro-RO"/>
        </w:rPr>
      </w:pPr>
    </w:p>
    <w:p w:rsidR="005E23BC" w:rsidRPr="00B62A2A" w:rsidRDefault="005E23BC" w:rsidP="005E23BC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5E23BC" w:rsidRPr="00F22FE6" w:rsidTr="00FD5A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23BC" w:rsidRPr="005E2897" w:rsidRDefault="005E23BC" w:rsidP="00FD5ACB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5E23BC" w:rsidRPr="00F22FE6" w:rsidTr="00FD5ACB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23BC" w:rsidRPr="006A6234" w:rsidRDefault="005E23BC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5E23BC" w:rsidRPr="00F22FE6" w:rsidTr="00FD5ACB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23BC" w:rsidRPr="006A6234" w:rsidRDefault="005E23BC" w:rsidP="00FD5ACB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</w:t>
            </w:r>
            <w:r>
              <w:rPr>
                <w:sz w:val="22"/>
                <w:szCs w:val="20"/>
                <w:lang w:val="ro-RO"/>
              </w:rPr>
              <w:t>9</w:t>
            </w:r>
            <w:r w:rsidRPr="006A6234">
              <w:rPr>
                <w:sz w:val="22"/>
                <w:szCs w:val="20"/>
                <w:lang w:val="ro-RO"/>
              </w:rPr>
              <w:t>-2</w:t>
            </w:r>
            <w:r>
              <w:rPr>
                <w:sz w:val="22"/>
                <w:szCs w:val="20"/>
                <w:lang w:val="ro-RO"/>
              </w:rPr>
              <w:t>4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5E23BC" w:rsidRPr="00F22FE6" w:rsidTr="00FD5ACB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23BC" w:rsidRPr="006A6234" w:rsidRDefault="005E23BC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5E23BC" w:rsidRPr="00F22FE6" w:rsidTr="00FD5ACB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23BC" w:rsidRPr="006A6234" w:rsidRDefault="005E23BC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5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5E23BC" w:rsidRPr="00F22FE6" w:rsidTr="00FD5ACB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</w:tcPr>
          <w:p w:rsidR="005E23BC" w:rsidRPr="006A6234" w:rsidRDefault="005E23BC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6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5E23BC" w:rsidRPr="00F22FE6" w:rsidTr="00FD5ACB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5E23BC" w:rsidRPr="006A6234" w:rsidRDefault="005E23BC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6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5E23BC" w:rsidRPr="00F22FE6" w:rsidTr="00FD5ACB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</w:tcPr>
          <w:p w:rsidR="005E23BC" w:rsidRPr="006A6234" w:rsidRDefault="005E23BC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5E23BC" w:rsidRPr="00F22FE6" w:rsidTr="00FD5ACB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</w:tcPr>
          <w:p w:rsidR="005E23BC" w:rsidRPr="006A6234" w:rsidRDefault="005E23BC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5E23BC" w:rsidRPr="00F22FE6" w:rsidTr="00FD5ACB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</w:tcPr>
          <w:p w:rsidR="005E23BC" w:rsidRPr="006A6234" w:rsidRDefault="005E23BC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5E23BC" w:rsidRPr="00F22FE6" w:rsidTr="00FD5ACB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5E23BC" w:rsidRPr="006A6234" w:rsidRDefault="005E23BC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5E23BC" w:rsidRPr="00F22FE6" w:rsidTr="00FD5ACB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</w:tcPr>
          <w:p w:rsidR="005E23BC" w:rsidRPr="006A6234" w:rsidRDefault="005E23BC" w:rsidP="00FD5ACB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6A6234">
              <w:rPr>
                <w:sz w:val="22"/>
                <w:szCs w:val="20"/>
                <w:lang w:val="ro-RO"/>
              </w:rPr>
              <w:t>.04.202</w:t>
            </w:r>
            <w:r>
              <w:rPr>
                <w:sz w:val="22"/>
                <w:szCs w:val="20"/>
                <w:lang w:val="ro-RO"/>
              </w:rPr>
              <w:t>3</w:t>
            </w:r>
          </w:p>
        </w:tc>
      </w:tr>
      <w:tr w:rsidR="005E23BC" w:rsidRPr="00F22FE6" w:rsidTr="00FD5ACB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E23BC" w:rsidRPr="005E2897" w:rsidRDefault="005E23BC" w:rsidP="00FD5ACB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5E23BC" w:rsidRPr="005E2897" w:rsidRDefault="005E23BC" w:rsidP="00FD5ACB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23BC" w:rsidRPr="006A6234" w:rsidRDefault="005E23BC" w:rsidP="00FD5ACB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5E23BC" w:rsidRPr="00B62A2A" w:rsidRDefault="005E23BC" w:rsidP="005E23BC">
      <w:pPr>
        <w:spacing w:after="120"/>
        <w:jc w:val="both"/>
        <w:rPr>
          <w:lang w:val="ro-RO"/>
        </w:rPr>
      </w:pPr>
    </w:p>
    <w:p w:rsidR="005E23BC" w:rsidRPr="00B62A2A" w:rsidRDefault="005E23BC" w:rsidP="005E23BC">
      <w:pPr>
        <w:spacing w:after="120"/>
        <w:jc w:val="both"/>
        <w:rPr>
          <w:lang w:val="ro-RO"/>
        </w:rPr>
      </w:pPr>
    </w:p>
    <w:p w:rsidR="005E23BC" w:rsidRPr="00B62A2A" w:rsidRDefault="005E23BC" w:rsidP="005E23BC">
      <w:pPr>
        <w:spacing w:after="120"/>
        <w:jc w:val="both"/>
        <w:rPr>
          <w:lang w:val="ro-RO"/>
        </w:rPr>
      </w:pPr>
      <w:r w:rsidRPr="00B62A2A">
        <w:rPr>
          <w:lang w:val="ro-RO"/>
        </w:rPr>
        <w:t>Data</w:t>
      </w:r>
      <w:r w:rsidRPr="006A6234">
        <w:rPr>
          <w:lang w:val="ro-RO"/>
        </w:rPr>
        <w:t>: 1</w:t>
      </w:r>
      <w:r>
        <w:rPr>
          <w:lang w:val="ro-RO"/>
        </w:rPr>
        <w:t>9</w:t>
      </w:r>
      <w:r w:rsidRPr="006A6234">
        <w:rPr>
          <w:lang w:val="ro-RO"/>
        </w:rPr>
        <w:t>.04.202</w:t>
      </w:r>
      <w:r>
        <w:rPr>
          <w:lang w:val="ro-RO"/>
        </w:rPr>
        <w:t>3</w:t>
      </w:r>
    </w:p>
    <w:p w:rsidR="005E23BC" w:rsidRPr="00B62A2A" w:rsidRDefault="005E23BC" w:rsidP="005E23BC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5E23BC" w:rsidRPr="00B62A2A" w:rsidRDefault="005E23BC" w:rsidP="005E23BC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Prof. univ. dr. Roxana Sârbu </w:t>
      </w:r>
      <w:bookmarkEnd w:id="2"/>
    </w:p>
    <w:p w:rsidR="00E71FFB" w:rsidRPr="007432DE" w:rsidRDefault="00E71FFB" w:rsidP="007C3C89">
      <w:pPr>
        <w:spacing w:after="120" w:line="276" w:lineRule="auto"/>
        <w:jc w:val="both"/>
        <w:rPr>
          <w:lang w:val="ro-RO"/>
        </w:rPr>
      </w:pPr>
    </w:p>
    <w:sectPr w:rsidR="00E71FFB" w:rsidRPr="007432DE">
      <w:headerReference w:type="default" r:id="rId10"/>
      <w:footerReference w:type="default" r:id="rId1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97" w:rsidRDefault="00D00697">
      <w:r>
        <w:separator/>
      </w:r>
    </w:p>
  </w:endnote>
  <w:endnote w:type="continuationSeparator" w:id="0">
    <w:p w:rsidR="00D00697" w:rsidRDefault="00D0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BB5183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97" w:rsidRDefault="00D00697">
      <w:r>
        <w:separator/>
      </w:r>
    </w:p>
  </w:footnote>
  <w:footnote w:type="continuationSeparator" w:id="0">
    <w:p w:rsidR="00D00697" w:rsidRDefault="00D00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BB5183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533790"/>
    <w:multiLevelType w:val="hybridMultilevel"/>
    <w:tmpl w:val="A9A844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20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21"/>
  </w:num>
  <w:num w:numId="17">
    <w:abstractNumId w:val="1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7"/>
  </w:num>
  <w:num w:numId="22">
    <w:abstractNumId w:val="18"/>
  </w:num>
  <w:num w:numId="23">
    <w:abstractNumId w:val="11"/>
  </w:num>
  <w:num w:numId="24">
    <w:abstractNumId w:val="1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25EE"/>
    <w:rsid w:val="00007505"/>
    <w:rsid w:val="00034151"/>
    <w:rsid w:val="00052F4B"/>
    <w:rsid w:val="00092BCD"/>
    <w:rsid w:val="000C2E27"/>
    <w:rsid w:val="000E31B1"/>
    <w:rsid w:val="000E3DC3"/>
    <w:rsid w:val="000E46A4"/>
    <w:rsid w:val="000F69D1"/>
    <w:rsid w:val="0014326D"/>
    <w:rsid w:val="00153A4E"/>
    <w:rsid w:val="00194DB3"/>
    <w:rsid w:val="001C0B5F"/>
    <w:rsid w:val="0022001B"/>
    <w:rsid w:val="002375E0"/>
    <w:rsid w:val="00254F71"/>
    <w:rsid w:val="00263835"/>
    <w:rsid w:val="002D077C"/>
    <w:rsid w:val="00300820"/>
    <w:rsid w:val="00303CE5"/>
    <w:rsid w:val="003147A3"/>
    <w:rsid w:val="00335B6D"/>
    <w:rsid w:val="003378CF"/>
    <w:rsid w:val="0035096F"/>
    <w:rsid w:val="00352F05"/>
    <w:rsid w:val="003B3ED4"/>
    <w:rsid w:val="003F62A3"/>
    <w:rsid w:val="004109FA"/>
    <w:rsid w:val="00413E47"/>
    <w:rsid w:val="00421CC5"/>
    <w:rsid w:val="00434904"/>
    <w:rsid w:val="00442624"/>
    <w:rsid w:val="00443694"/>
    <w:rsid w:val="00452ED3"/>
    <w:rsid w:val="00470DE5"/>
    <w:rsid w:val="00486A34"/>
    <w:rsid w:val="004B5B5E"/>
    <w:rsid w:val="004D4957"/>
    <w:rsid w:val="004F3DA3"/>
    <w:rsid w:val="00520F7F"/>
    <w:rsid w:val="00527C37"/>
    <w:rsid w:val="0053321B"/>
    <w:rsid w:val="00537A6A"/>
    <w:rsid w:val="00595366"/>
    <w:rsid w:val="005B08BF"/>
    <w:rsid w:val="005C4FC2"/>
    <w:rsid w:val="005E23BC"/>
    <w:rsid w:val="005E5BA4"/>
    <w:rsid w:val="005E71D6"/>
    <w:rsid w:val="0062443A"/>
    <w:rsid w:val="00627FD9"/>
    <w:rsid w:val="00635F93"/>
    <w:rsid w:val="00661030"/>
    <w:rsid w:val="00663464"/>
    <w:rsid w:val="006669D8"/>
    <w:rsid w:val="006672B3"/>
    <w:rsid w:val="00690C2F"/>
    <w:rsid w:val="006A478A"/>
    <w:rsid w:val="006B193F"/>
    <w:rsid w:val="006B4A41"/>
    <w:rsid w:val="006D1954"/>
    <w:rsid w:val="0070374F"/>
    <w:rsid w:val="007167D2"/>
    <w:rsid w:val="00720A11"/>
    <w:rsid w:val="00721972"/>
    <w:rsid w:val="0072557E"/>
    <w:rsid w:val="00737CB9"/>
    <w:rsid w:val="007432DE"/>
    <w:rsid w:val="007437CF"/>
    <w:rsid w:val="007468B6"/>
    <w:rsid w:val="007C3C89"/>
    <w:rsid w:val="007C4BBD"/>
    <w:rsid w:val="007D2515"/>
    <w:rsid w:val="007E0CC3"/>
    <w:rsid w:val="007F4E68"/>
    <w:rsid w:val="008169ED"/>
    <w:rsid w:val="00816F04"/>
    <w:rsid w:val="00821220"/>
    <w:rsid w:val="00842A03"/>
    <w:rsid w:val="00870971"/>
    <w:rsid w:val="00873B64"/>
    <w:rsid w:val="00880DCF"/>
    <w:rsid w:val="00886E60"/>
    <w:rsid w:val="008B6C05"/>
    <w:rsid w:val="008C688F"/>
    <w:rsid w:val="008D2A19"/>
    <w:rsid w:val="008F4D87"/>
    <w:rsid w:val="0090125F"/>
    <w:rsid w:val="00926C27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A60E9"/>
    <w:rsid w:val="009B0734"/>
    <w:rsid w:val="009C1F9E"/>
    <w:rsid w:val="009E41C2"/>
    <w:rsid w:val="00A15CBE"/>
    <w:rsid w:val="00A331AB"/>
    <w:rsid w:val="00A66372"/>
    <w:rsid w:val="00A97592"/>
    <w:rsid w:val="00AA2B01"/>
    <w:rsid w:val="00AA3183"/>
    <w:rsid w:val="00AB0096"/>
    <w:rsid w:val="00AB7100"/>
    <w:rsid w:val="00AD479B"/>
    <w:rsid w:val="00B01316"/>
    <w:rsid w:val="00B11256"/>
    <w:rsid w:val="00B968F7"/>
    <w:rsid w:val="00BB15F3"/>
    <w:rsid w:val="00BB49DE"/>
    <w:rsid w:val="00BB5183"/>
    <w:rsid w:val="00BC43F0"/>
    <w:rsid w:val="00BD12D5"/>
    <w:rsid w:val="00BD7A21"/>
    <w:rsid w:val="00C17084"/>
    <w:rsid w:val="00C43278"/>
    <w:rsid w:val="00C45029"/>
    <w:rsid w:val="00C5054A"/>
    <w:rsid w:val="00C520C6"/>
    <w:rsid w:val="00C602C2"/>
    <w:rsid w:val="00C74299"/>
    <w:rsid w:val="00C84244"/>
    <w:rsid w:val="00C96785"/>
    <w:rsid w:val="00D00697"/>
    <w:rsid w:val="00D42650"/>
    <w:rsid w:val="00D45C62"/>
    <w:rsid w:val="00D75783"/>
    <w:rsid w:val="00D94F2E"/>
    <w:rsid w:val="00DB4A70"/>
    <w:rsid w:val="00DB743B"/>
    <w:rsid w:val="00DC38AB"/>
    <w:rsid w:val="00E2766B"/>
    <w:rsid w:val="00E71FFB"/>
    <w:rsid w:val="00E776CF"/>
    <w:rsid w:val="00EB42BF"/>
    <w:rsid w:val="00EC0889"/>
    <w:rsid w:val="00EC511F"/>
    <w:rsid w:val="00ED54EA"/>
    <w:rsid w:val="00F01E97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FA8BC2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sites/education/files/document-library-docs/et2020_mandates_2018-2020_fin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7296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40</cp:revision>
  <cp:lastPrinted>2017-05-16T12:04:00Z</cp:lastPrinted>
  <dcterms:created xsi:type="dcterms:W3CDTF">2019-05-20T08:57:00Z</dcterms:created>
  <dcterms:modified xsi:type="dcterms:W3CDTF">2023-04-11T11:36:00Z</dcterms:modified>
</cp:coreProperties>
</file>